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14 по 20 ноября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14 по 20 ноября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14.11.2019г. – 22.11.2019г.:</w:t>
            </w:r>
            <w:br/>
            <w:r>
              <w:rPr/>
              <w:t xml:space="preserve"> </w:t>
            </w:r>
            <w:br/>
            <w:r>
              <w:rPr/>
              <w:t xml:space="preserve"> На 14 ноября: переменная облачность, без осадков, ночью и утром местами туман. Ветер: юго-восточный 7-12 м/с. Температура воздуха: ночью 0…+5°С.,  днем +12…+17°С.  Горы, предгорья: без осадков. Температура воздуха: ночью +3…-2°С., днем +10…+15°С. Пожароопасность: по южному и центральному районам 4 класса. По г. Майкопу: переменная облачность, без осадков, ночью и утром туман. Ветер: юго-восточный 5-10 м/с. Температура воздуха: ночью +1…+3°С., днем +15…+17°С.</w:t>
            </w:r>
            <w:br/>
            <w:r>
              <w:rPr/>
              <w:t xml:space="preserve"> </w:t>
            </w:r>
            <w:br/>
            <w:r>
              <w:rPr/>
              <w:t xml:space="preserve"> На 15-16 ноября: переменная облачность, без осадков. Ветер: юго-восточный 7-12 м/с. Температура воздуха: ночью 0...+5ºС.,  днем +12...+17ºС. Горы, предгорья:  без осадков. Температура воздуха:   ночью +3…-2ºС.,  днем  +10…+15ºС.               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На 17-18 ноября: переменная облачность, без осадков. Ветер: восточный переходящий северо-восточный 2-3 м/с. Температура воздуха: ночью0…+5ºС,днем +12…+17ºС.                                                                             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На 19-20 ноября: переменная облачность, без осадков.  Ветер:  юго-восточный2-3 м/с. Температура воздуха: ночью+4…-1ºС,днем +11…+16ºС.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13 ноября составило 6,7%.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 обусловленных неблагоприятными природными явлениями (осадки, туман)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2025-03-26T05:32:03+03:00</dcterms:created>
  <dcterms:modified xsi:type="dcterms:W3CDTF">2025-03-26T05:32:03+03:00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