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реках, малых реках бассейна реки Кубань юго-восточной территории Краснодарского края и на реках Республики Адыгея ожидаются подъёмы уровней воды, местами с достижением неблагоприятных отметок.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ЧС не выше межмуниципального характера,</w:t>
            </w:r>
            <w:br/>
            <w:r>
              <w:rPr/>
              <w:t xml:space="preserve"> и происшествий, связанных с подтоплением пониженных участков, не имеющих естественного стока воды, прибрежных территорий, населенных пунктов, нарушением работы дренажно-коллекторных и ливневых систем; размывом берегов рек, прорывом дамб (плотин) прудов;подмывом опор мостов, опор ЛЭП; нарушением работы дорожных и коммунальных служб;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широкоформатных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населения, затруднением в работе всех видов транспорта, аэропортов (Источник ЧС и происшествий – подъемы уровней воды).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2025-03-26T05:02:39+03:00</dcterms:created>
  <dcterms:modified xsi:type="dcterms:W3CDTF">2025-03-26T05:02:39+03:00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