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на 2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на 2 июля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на 2 июля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Республика Адыгея </w:t>
            </w:r>
            <w:r>
              <w:rPr>
                <w:i w:val="1"/>
                <w:iCs w:val="1"/>
              </w:rPr>
              <w:t xml:space="preserve"> </w:t>
            </w:r>
            <w:r>
              <w:rPr/>
              <w:t xml:space="preserve">существует  вероятность возникновения чрезвычайных ситуаций, связанных с подтоплением низменных участков местности, не имеющих естественного стока воды, населенных пунктов, подъемом уровней рек; размывом дамб, подмывом земляных насыпей ж/д путей  (эстакад) на подходах к мостам, опор ЛЭП, обрывом ЛЭП и линий связи, повреждением крыш домов и слабозакрепленных конструкций; гибелью сельхозкультур; нарушением работы дренажно-коллекторных и ливневых систем; затруднением в работе всех видов транспорта, выходом из строя объектов жизнеобеспечения населения, повреждения разрядами атмосферного электричества (молниями) объектов, не оборудованных молнезащитой (громоотводами) (Источник ЧС – сильный дождь, гроза,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В Майкопском, Гиагинском, Шовгеновском, Кошехабльском, Красногвардейском, Теучежском районе и МО Майкоп и Адыгейск- существует  вероятность возникновения чрезвычайных ситуаций не выше муниципального характера, связанных с подтоплением низменных и прибрежных территорий, населенных пунктов; размывом берегов рек, внутрипоселковых дорог, прорывом дамб (плотин) прудов; подмывом опор мостов, опор ЛЭП; нарушением работы дренажно-коллекторных систем; затруднением в работе всех видов транспорта, выходом из строя объектов жизнеобеспечения (Источник ЧС – высокие уровни воды).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2025-03-25T23:04:48+03:00</dcterms:created>
  <dcterms:modified xsi:type="dcterms:W3CDTF">2025-03-25T23:04:48+03:00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