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09.07.2012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09.07.2012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 09.07.2012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3.1. Пожаров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</w:t>
            </w:r>
            <w:r>
              <w:rPr>
                <w:b w:val="1"/>
                <w:bCs w:val="1"/>
              </w:rPr>
              <w:t xml:space="preserve">3.2. ДТП  - нет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35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–  1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ПСР № 76</w:t>
            </w:r>
            <w:r>
              <w:rPr/>
              <w:t xml:space="preserve">  ( продолжение). Краснодарский край Крымский район. Поиск, эвакуация населения из зоны затопления в г. Крымске, Краснодарского края. Привлекалось: 9 чел., 3 ед. техн., 3 плав. средства.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i w:val="1"/>
                <w:iCs w:val="1"/>
              </w:rPr>
              <w:t xml:space="preserve">По времени реагирования к дежурному ПСП замечаний нет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 – 7 ( 121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 09.07.2012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кратковременный грозовой 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    5 - 10 м/сек, при  грозе порыв 15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 ночью +13… +180С,    днём  +25… +300С,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   ночью +16… +180С,    днём  +28… +300С.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кратковременный грозовой дождь, местами сильный 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  ночью + 8… +130С,    днём  +21...  +260С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2025-03-26T00:35:59+03:00</dcterms:created>
  <dcterms:modified xsi:type="dcterms:W3CDTF">2025-03-26T00:35:59+03:00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