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11.02.2011г.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11.02.2011г.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за сутки 11.02.2011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07. 00 мск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Угрозы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Пожаров: 1 . Пострадавших, погибших: нет</w:t>
            </w:r>
            <w:br/>
            <w:r>
              <w:rPr/>
              <w:t xml:space="preserve"> </w:t>
            </w:r>
            <w:br/>
            <w:r>
              <w:rPr/>
              <w:t xml:space="preserve"> - Кошехабльский район, а. Кошехабль, ул. Пролетарская14.возгорание частного дома на площади 10 кв.м. Причина- неосторожное обращение с огнём. ущерб- устанавливается. .Привлекалось от МЧС: 1 ед. техники, 4 чел л/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Нарушений технического регламента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ДТП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Нарушений по информационному взаимодействию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 в норме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40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Поисково-спасательные работы не проводились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Туристических групп не зарегистрировано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2025-03-25T23:51:15+03:00</dcterms:created>
  <dcterms:modified xsi:type="dcterms:W3CDTF">2025-03-25T23:51:15+03:00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